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B1" w:rsidRPr="00727484"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center"/>
        <w:rPr>
          <w:b/>
          <w:sz w:val="32"/>
          <w:szCs w:val="32"/>
          <w:u w:val="single"/>
        </w:rPr>
      </w:pPr>
      <w:r w:rsidRPr="00727484">
        <w:rPr>
          <w:b/>
          <w:sz w:val="32"/>
          <w:szCs w:val="32"/>
          <w:u w:val="single"/>
        </w:rPr>
        <w:t>RESUME NICKI MOLLARD</w:t>
      </w: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rPr>
          <w:b/>
          <w:u w:val="single"/>
        </w:rPr>
      </w:pP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rPr>
          <w:b/>
          <w:u w:val="single"/>
        </w:rPr>
      </w:pPr>
      <w:r w:rsidRPr="007A30C8">
        <w:rPr>
          <w:b/>
          <w:u w:val="single"/>
        </w:rPr>
        <w:t>CONTACT DETAILS</w:t>
      </w:r>
    </w:p>
    <w:p w:rsidR="00890AB1" w:rsidRPr="00B4145F"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rPr>
          <w:b/>
          <w:u w:val="single"/>
        </w:rPr>
      </w:pP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r w:rsidRPr="00281428">
        <w:rPr>
          <w:b/>
        </w:rPr>
        <w:t>Business Address:</w:t>
      </w:r>
      <w:r>
        <w:tab/>
        <w:t>C/- Greens List (Clerk B)</w:t>
      </w: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r>
        <w:tab/>
      </w:r>
      <w:r>
        <w:tab/>
      </w:r>
      <w:r>
        <w:tab/>
        <w:t xml:space="preserve">Owen Dixon West Chambers </w:t>
      </w: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r>
        <w:tab/>
      </w:r>
      <w:r>
        <w:tab/>
      </w:r>
      <w:r>
        <w:tab/>
        <w:t>205 William Street</w:t>
      </w: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r>
        <w:tab/>
      </w:r>
      <w:r>
        <w:tab/>
      </w:r>
      <w:r>
        <w:tab/>
        <w:t>MELBOURNE, 3000</w:t>
      </w: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r>
        <w:rPr>
          <w:b/>
        </w:rPr>
        <w:t>Home Address:</w:t>
      </w:r>
      <w:r>
        <w:tab/>
      </w:r>
      <w:r>
        <w:tab/>
        <w:t>36 Elliott Avenue</w:t>
      </w: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r>
        <w:tab/>
      </w:r>
      <w:r>
        <w:tab/>
      </w:r>
      <w:r>
        <w:tab/>
        <w:t>CARNEGIE, 3163</w:t>
      </w: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r>
        <w:rPr>
          <w:b/>
        </w:rPr>
        <w:t>Telephone:</w:t>
      </w:r>
      <w:r>
        <w:tab/>
      </w:r>
      <w:r>
        <w:tab/>
        <w:t>0414 930 887 (mobile)</w:t>
      </w: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r>
        <w:tab/>
      </w:r>
      <w:r>
        <w:tab/>
      </w:r>
      <w:r>
        <w:tab/>
        <w:t>9225 7613 (clerk)</w:t>
      </w: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r>
        <w:tab/>
      </w:r>
      <w:r>
        <w:tab/>
      </w:r>
      <w:r>
        <w:tab/>
        <w:t>9563 2443 (home)</w:t>
      </w:r>
    </w:p>
    <w:p w:rsidR="00890AB1" w:rsidRPr="00445D60" w:rsidRDefault="00890AB1" w:rsidP="00890AB1">
      <w:pPr>
        <w:shd w:val="clear" w:color="auto" w:fill="FFFFFF"/>
        <w:rPr>
          <w:color w:val="222222"/>
        </w:rPr>
      </w:pPr>
    </w:p>
    <w:p w:rsidR="00890AB1" w:rsidRDefault="00890AB1" w:rsidP="00890AB1">
      <w:pPr>
        <w:shd w:val="clear" w:color="auto" w:fill="FFFFFF"/>
      </w:pPr>
      <w:r w:rsidRPr="00DB0226">
        <w:rPr>
          <w:b/>
        </w:rPr>
        <w:t>Fax:</w:t>
      </w:r>
      <w:r w:rsidRPr="001B5FB1">
        <w:t> </w:t>
      </w:r>
      <w:r w:rsidRPr="001B5FB1">
        <w:tab/>
      </w:r>
      <w:r>
        <w:tab/>
      </w:r>
      <w:r>
        <w:tab/>
        <w:t xml:space="preserve">       </w:t>
      </w:r>
      <w:r w:rsidRPr="001B5FB1">
        <w:t>03 9225 8485</w:t>
      </w:r>
      <w:r>
        <w:t xml:space="preserve"> (clerk)</w:t>
      </w:r>
    </w:p>
    <w:p w:rsidR="00890AB1" w:rsidRDefault="00890AB1" w:rsidP="00890AB1">
      <w:pPr>
        <w:shd w:val="clear" w:color="auto" w:fill="FFFFFF"/>
      </w:pPr>
      <w:r w:rsidRPr="00DB0226">
        <w:rPr>
          <w:b/>
        </w:rPr>
        <w:t>E-Mail: </w:t>
      </w:r>
      <w:r w:rsidRPr="00DB0226">
        <w:rPr>
          <w:b/>
        </w:rPr>
        <w:tab/>
      </w:r>
      <w:r>
        <w:tab/>
        <w:t xml:space="preserve">        nickimollard@gmail.com</w:t>
      </w:r>
    </w:p>
    <w:p w:rsidR="00890AB1" w:rsidRDefault="00890AB1" w:rsidP="00890AB1">
      <w:pPr>
        <w:shd w:val="clear" w:color="auto" w:fill="FFFFFF"/>
      </w:pPr>
    </w:p>
    <w:p w:rsidR="00890AB1" w:rsidRPr="001B5FB1" w:rsidRDefault="00890AB1" w:rsidP="00890AB1">
      <w:pPr>
        <w:shd w:val="clear" w:color="auto" w:fill="FFFFFF"/>
      </w:pPr>
    </w:p>
    <w:p w:rsidR="00890AB1" w:rsidRPr="00E23B71" w:rsidRDefault="00890AB1" w:rsidP="00890AB1">
      <w:pPr>
        <w:shd w:val="clear" w:color="auto" w:fill="FFFFFF"/>
        <w:rPr>
          <w:b/>
          <w:bCs/>
          <w:color w:val="222222"/>
        </w:rPr>
      </w:pPr>
      <w:r w:rsidRPr="00445D60">
        <w:rPr>
          <w:color w:val="222222"/>
        </w:rPr>
        <w:t> </w:t>
      </w:r>
      <w:r w:rsidRPr="00DD7D30">
        <w:rPr>
          <w:b/>
          <w:bCs/>
          <w:color w:val="222222"/>
        </w:rPr>
        <w:t> </w:t>
      </w:r>
      <w:r w:rsidRPr="00445D60">
        <w:rPr>
          <w:b/>
          <w:bCs/>
          <w:color w:val="222222"/>
        </w:rPr>
        <w:t>  </w:t>
      </w:r>
    </w:p>
    <w:p w:rsidR="00890AB1" w:rsidRPr="007A30C8"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rPr>
          <w:b/>
          <w:u w:val="single"/>
        </w:rPr>
      </w:pPr>
      <w:r w:rsidRPr="007A30C8">
        <w:rPr>
          <w:b/>
          <w:u w:val="single"/>
        </w:rPr>
        <w:t>SUMMARY OF EXPERIENCE</w:t>
      </w:r>
    </w:p>
    <w:p w:rsidR="00890AB1" w:rsidRPr="001B5FB1" w:rsidRDefault="00890AB1" w:rsidP="00890AB1">
      <w:pPr>
        <w:shd w:val="clear" w:color="auto" w:fill="FFFFFF"/>
        <w:rPr>
          <w:b/>
          <w:bCs/>
          <w:color w:val="222222"/>
        </w:rPr>
      </w:pPr>
    </w:p>
    <w:p w:rsidR="00890AB1" w:rsidRDefault="00890AB1" w:rsidP="00890AB1">
      <w:pPr>
        <w:shd w:val="clear" w:color="auto" w:fill="FFFFFF"/>
      </w:pPr>
      <w:r>
        <w:t xml:space="preserve">Nicki is a senior teaching fellow at Monash University (Faculty of Law and Faculty of Medicine, Nursing and Health Sciences), a barrister at the Victorian Bar, a nationally accredited mediator and a Board member of the Victorian Assisted Reproductive Treatment Authority (VARTA).  Nicki was previously a </w:t>
      </w:r>
      <w:r w:rsidRPr="001B5FB1">
        <w:t xml:space="preserve">solicitor in a litigation-based health law team at </w:t>
      </w:r>
      <w:proofErr w:type="spellStart"/>
      <w:r w:rsidRPr="001B5FB1">
        <w:t>Corrs</w:t>
      </w:r>
      <w:proofErr w:type="spellEnd"/>
      <w:r>
        <w:t xml:space="preserve"> and the legal member of the Victorian Cytology Service, the Peninsula Health Care Network Research and Ethics Committee (Frankston Hospital), the Inner and Eastern Health Care Network Research and Ethics Committee (St George’s Hospital) and board Member of the Caroline Chisholm Institute for Health Ethics.  Nicki holds a Masters degree in Bioethics, and wrote a first class honour thesis on the regulation of an aspect of Health Law in Victoria. </w:t>
      </w:r>
      <w:r w:rsidRPr="001B5FB1">
        <w:t>Nicki has researched and taught in</w:t>
      </w:r>
      <w:r>
        <w:t xml:space="preserve"> health law,</w:t>
      </w:r>
      <w:r w:rsidRPr="001B5FB1">
        <w:t xml:space="preserve"> criminal law, evidence law, civil procedure and torts at undergraduat</w:t>
      </w:r>
      <w:r>
        <w:t>e and post graduate level for 18</w:t>
      </w:r>
      <w:r w:rsidRPr="001B5FB1">
        <w:t xml:space="preserve"> years.  </w:t>
      </w:r>
    </w:p>
    <w:p w:rsidR="00890AB1" w:rsidRDefault="00890AB1" w:rsidP="00890AB1">
      <w:pPr>
        <w:shd w:val="clear" w:color="auto" w:fill="FFFFFF"/>
      </w:pPr>
    </w:p>
    <w:p w:rsidR="00890AB1" w:rsidRDefault="00890AB1" w:rsidP="00890AB1"/>
    <w:p w:rsidR="00890AB1" w:rsidRDefault="00890AB1" w:rsidP="00890AB1">
      <w:pPr>
        <w:rPr>
          <w:b/>
          <w:u w:val="single"/>
        </w:rPr>
      </w:pPr>
      <w:r w:rsidRPr="0008371C">
        <w:rPr>
          <w:b/>
          <w:u w:val="single"/>
        </w:rPr>
        <w:t>EDUCATION</w:t>
      </w:r>
    </w:p>
    <w:p w:rsidR="00890AB1" w:rsidRDefault="00890AB1" w:rsidP="00890AB1">
      <w:pPr>
        <w:rPr>
          <w:b/>
          <w:u w:val="single"/>
        </w:rPr>
      </w:pPr>
    </w:p>
    <w:p w:rsidR="00890AB1" w:rsidRPr="0008371C" w:rsidRDefault="00890AB1" w:rsidP="00890AB1">
      <w:pPr>
        <w:rPr>
          <w:b/>
        </w:rPr>
      </w:pPr>
      <w:r w:rsidRPr="0008371C">
        <w:rPr>
          <w:b/>
        </w:rPr>
        <w:t>University Record</w:t>
      </w:r>
    </w:p>
    <w:p w:rsidR="00890AB1" w:rsidRDefault="00890AB1" w:rsidP="00890AB1">
      <w:pPr>
        <w:numPr>
          <w:ilvl w:val="0"/>
          <w:numId w:val="1"/>
        </w:numPr>
        <w:spacing w:after="200"/>
        <w:contextualSpacing/>
      </w:pPr>
      <w:r>
        <w:t>Bachelor of Arts (Philosophy major – ethics) Monash University 1991</w:t>
      </w:r>
    </w:p>
    <w:p w:rsidR="00890AB1" w:rsidRDefault="00890AB1" w:rsidP="00890AB1">
      <w:pPr>
        <w:numPr>
          <w:ilvl w:val="0"/>
          <w:numId w:val="1"/>
        </w:numPr>
        <w:spacing w:after="200"/>
        <w:contextualSpacing/>
      </w:pPr>
      <w:r>
        <w:t xml:space="preserve">Bachelor of Laws (Honours) Monash University 1996 (Thesis “Legal Regulation of the donation of </w:t>
      </w:r>
      <w:proofErr w:type="spellStart"/>
      <w:r>
        <w:t>oocytes</w:t>
      </w:r>
      <w:proofErr w:type="spellEnd"/>
      <w:r>
        <w:t>”)</w:t>
      </w:r>
    </w:p>
    <w:p w:rsidR="00890AB1" w:rsidRDefault="00890AB1" w:rsidP="00890AB1">
      <w:pPr>
        <w:numPr>
          <w:ilvl w:val="0"/>
          <w:numId w:val="1"/>
        </w:numPr>
        <w:spacing w:after="200"/>
        <w:contextualSpacing/>
      </w:pPr>
      <w:r>
        <w:t>Masters of Bioethics Monash Centre for Human Bioethics 2009</w:t>
      </w:r>
    </w:p>
    <w:p w:rsidR="00890AB1" w:rsidRDefault="00890AB1" w:rsidP="00890AB1">
      <w:pPr>
        <w:numPr>
          <w:ilvl w:val="0"/>
          <w:numId w:val="1"/>
        </w:numPr>
        <w:spacing w:after="200"/>
        <w:contextualSpacing/>
      </w:pPr>
      <w:r>
        <w:t>PhD (Law) Monash University (APA Scholarship 2000 : withdrawn in good standing ; Thesis “An ethically defensible feminist account of abortion and ART regulation in Victoria”)</w:t>
      </w:r>
    </w:p>
    <w:p w:rsidR="00890AB1" w:rsidRDefault="00890AB1" w:rsidP="00890AB1">
      <w:pPr>
        <w:ind w:left="720"/>
        <w:contextualSpacing/>
      </w:pPr>
    </w:p>
    <w:p w:rsidR="00890AB1" w:rsidRPr="0008371C" w:rsidRDefault="00890AB1" w:rsidP="00890AB1">
      <w:pPr>
        <w:rPr>
          <w:b/>
        </w:rPr>
      </w:pPr>
      <w:r w:rsidRPr="0008371C">
        <w:rPr>
          <w:b/>
        </w:rPr>
        <w:t>School Record</w:t>
      </w:r>
    </w:p>
    <w:p w:rsidR="00890AB1" w:rsidRDefault="00890AB1" w:rsidP="00890AB1">
      <w:pPr>
        <w:numPr>
          <w:ilvl w:val="0"/>
          <w:numId w:val="2"/>
        </w:numPr>
        <w:spacing w:after="200"/>
        <w:contextualSpacing/>
      </w:pPr>
      <w:r>
        <w:t xml:space="preserve">VCE 1988 </w:t>
      </w:r>
      <w:proofErr w:type="spellStart"/>
      <w:r>
        <w:t>Toorak</w:t>
      </w:r>
      <w:proofErr w:type="spellEnd"/>
      <w:r>
        <w:t xml:space="preserve"> College, Mt Eliza</w:t>
      </w:r>
    </w:p>
    <w:p w:rsidR="00890AB1" w:rsidRDefault="00890AB1" w:rsidP="00890AB1">
      <w:pPr>
        <w:contextualSpacing/>
        <w:rPr>
          <w:b/>
        </w:rPr>
      </w:pPr>
    </w:p>
    <w:p w:rsidR="00890AB1" w:rsidRDefault="00890AB1" w:rsidP="00890AB1">
      <w:pPr>
        <w:contextualSpacing/>
        <w:rPr>
          <w:b/>
        </w:rPr>
      </w:pPr>
    </w:p>
    <w:p w:rsidR="00890AB1" w:rsidRPr="004D3C8E" w:rsidRDefault="00890AB1" w:rsidP="00890AB1">
      <w:pPr>
        <w:contextualSpacing/>
        <w:rPr>
          <w:b/>
        </w:rPr>
      </w:pPr>
      <w:r w:rsidRPr="004D3C8E">
        <w:rPr>
          <w:b/>
        </w:rPr>
        <w:t>Professional qualifications</w:t>
      </w:r>
    </w:p>
    <w:p w:rsidR="00890AB1" w:rsidRPr="00AA70AC" w:rsidRDefault="00890AB1" w:rsidP="00890AB1">
      <w:pPr>
        <w:pStyle w:val="ListParagraph"/>
        <w:numPr>
          <w:ilvl w:val="0"/>
          <w:numId w:val="2"/>
        </w:numPr>
        <w:shd w:val="clear" w:color="auto" w:fill="FFFFFF"/>
        <w:spacing w:after="0" w:line="240" w:lineRule="auto"/>
        <w:rPr>
          <w:rFonts w:ascii="Times New Roman" w:eastAsia="Times New Roman" w:hAnsi="Times New Roman"/>
          <w:sz w:val="24"/>
          <w:szCs w:val="24"/>
          <w:lang w:val="en-GB"/>
        </w:rPr>
      </w:pPr>
      <w:r>
        <w:t> </w:t>
      </w:r>
      <w:r w:rsidRPr="00AA70AC">
        <w:rPr>
          <w:rFonts w:ascii="Times New Roman" w:eastAsia="Times New Roman" w:hAnsi="Times New Roman"/>
          <w:sz w:val="24"/>
          <w:szCs w:val="24"/>
          <w:lang w:val="en-GB"/>
        </w:rPr>
        <w:t>Admitted to legal Practice: </w:t>
      </w:r>
      <w:r w:rsidRPr="00AA70AC">
        <w:rPr>
          <w:rFonts w:ascii="Times New Roman" w:eastAsia="Times New Roman" w:hAnsi="Times New Roman"/>
          <w:sz w:val="24"/>
          <w:szCs w:val="24"/>
          <w:lang w:val="en-GB"/>
        </w:rPr>
        <w:tab/>
      </w:r>
      <w:r w:rsidRPr="00AA70AC">
        <w:rPr>
          <w:rFonts w:ascii="Times New Roman" w:eastAsia="Times New Roman" w:hAnsi="Times New Roman"/>
          <w:sz w:val="24"/>
          <w:szCs w:val="24"/>
          <w:lang w:val="en-GB"/>
        </w:rPr>
        <w:tab/>
      </w:r>
      <w:r w:rsidRPr="00AA70AC">
        <w:rPr>
          <w:rFonts w:ascii="Times New Roman" w:eastAsia="Times New Roman" w:hAnsi="Times New Roman"/>
          <w:sz w:val="24"/>
          <w:szCs w:val="24"/>
          <w:lang w:val="en-GB"/>
        </w:rPr>
        <w:tab/>
        <w:t>4 May 1998</w:t>
      </w:r>
    </w:p>
    <w:p w:rsidR="00890AB1" w:rsidRPr="00AA70AC" w:rsidRDefault="00890AB1" w:rsidP="00890AB1">
      <w:pPr>
        <w:pStyle w:val="ListParagraph"/>
        <w:numPr>
          <w:ilvl w:val="0"/>
          <w:numId w:val="2"/>
        </w:numPr>
        <w:shd w:val="clear" w:color="auto" w:fill="FFFFFF"/>
        <w:spacing w:after="0" w:line="240" w:lineRule="auto"/>
        <w:rPr>
          <w:rFonts w:ascii="Times New Roman" w:eastAsia="Times New Roman" w:hAnsi="Times New Roman"/>
          <w:sz w:val="24"/>
          <w:szCs w:val="24"/>
          <w:lang w:val="en-GB"/>
        </w:rPr>
      </w:pPr>
      <w:r w:rsidRPr="00AA70AC">
        <w:rPr>
          <w:rFonts w:ascii="Times New Roman" w:eastAsia="Times New Roman" w:hAnsi="Times New Roman"/>
          <w:sz w:val="24"/>
          <w:szCs w:val="24"/>
          <w:lang w:val="en-GB"/>
        </w:rPr>
        <w:t> Signed Bar Roll: </w:t>
      </w:r>
      <w:r w:rsidRPr="00AA70AC">
        <w:rPr>
          <w:rFonts w:ascii="Times New Roman" w:eastAsia="Times New Roman" w:hAnsi="Times New Roman"/>
          <w:sz w:val="24"/>
          <w:szCs w:val="24"/>
          <w:lang w:val="en-GB"/>
        </w:rPr>
        <w:tab/>
      </w:r>
      <w:r w:rsidRPr="00AA70AC">
        <w:rPr>
          <w:rFonts w:ascii="Times New Roman" w:eastAsia="Times New Roman" w:hAnsi="Times New Roman"/>
          <w:sz w:val="24"/>
          <w:szCs w:val="24"/>
          <w:lang w:val="en-GB"/>
        </w:rPr>
        <w:tab/>
      </w:r>
      <w:r w:rsidRPr="00AA70AC">
        <w:rPr>
          <w:rFonts w:ascii="Times New Roman" w:eastAsia="Times New Roman" w:hAnsi="Times New Roman"/>
          <w:sz w:val="24"/>
          <w:szCs w:val="24"/>
          <w:lang w:val="en-GB"/>
        </w:rPr>
        <w:tab/>
      </w:r>
      <w:r w:rsidRPr="00AA70AC">
        <w:rPr>
          <w:rFonts w:ascii="Times New Roman" w:eastAsia="Times New Roman" w:hAnsi="Times New Roman"/>
          <w:sz w:val="24"/>
          <w:szCs w:val="24"/>
          <w:lang w:val="en-GB"/>
        </w:rPr>
        <w:tab/>
        <w:t>16 May 2013</w:t>
      </w:r>
    </w:p>
    <w:p w:rsidR="00890AB1" w:rsidRPr="00AA70AC" w:rsidRDefault="00890AB1" w:rsidP="00890AB1">
      <w:pPr>
        <w:pStyle w:val="ListParagraph"/>
        <w:numPr>
          <w:ilvl w:val="0"/>
          <w:numId w:val="2"/>
        </w:numPr>
        <w:shd w:val="clear" w:color="auto" w:fill="FFFFFF"/>
        <w:spacing w:after="0" w:line="240" w:lineRule="auto"/>
        <w:rPr>
          <w:rFonts w:ascii="Times New Roman" w:eastAsia="Times New Roman" w:hAnsi="Times New Roman"/>
          <w:sz w:val="24"/>
          <w:szCs w:val="24"/>
          <w:lang w:val="en-GB"/>
        </w:rPr>
      </w:pPr>
      <w:r w:rsidRPr="00AA70AC">
        <w:rPr>
          <w:rFonts w:ascii="Times New Roman" w:eastAsia="Times New Roman" w:hAnsi="Times New Roman"/>
          <w:sz w:val="24"/>
          <w:szCs w:val="24"/>
          <w:lang w:val="en-GB"/>
        </w:rPr>
        <w:t>Nationally Accredited as Mediator:</w:t>
      </w:r>
      <w:r w:rsidRPr="00AA70AC">
        <w:rPr>
          <w:rFonts w:ascii="Times New Roman" w:eastAsia="Times New Roman" w:hAnsi="Times New Roman"/>
          <w:sz w:val="24"/>
          <w:szCs w:val="24"/>
          <w:lang w:val="en-GB"/>
        </w:rPr>
        <w:tab/>
      </w:r>
      <w:r w:rsidRPr="00AA70AC">
        <w:rPr>
          <w:rFonts w:ascii="Times New Roman" w:eastAsia="Times New Roman" w:hAnsi="Times New Roman"/>
          <w:sz w:val="24"/>
          <w:szCs w:val="24"/>
          <w:lang w:val="en-GB"/>
        </w:rPr>
        <w:tab/>
        <w:t>29 May 2014</w:t>
      </w:r>
    </w:p>
    <w:p w:rsidR="00890AB1" w:rsidRDefault="00890AB1" w:rsidP="00890AB1">
      <w:pPr>
        <w:rPr>
          <w:b/>
          <w:u w:val="single"/>
        </w:rPr>
      </w:pPr>
    </w:p>
    <w:p w:rsidR="00890AB1" w:rsidRDefault="00890AB1" w:rsidP="00890AB1">
      <w:pPr>
        <w:rPr>
          <w:b/>
          <w:u w:val="single"/>
        </w:rPr>
      </w:pPr>
    </w:p>
    <w:p w:rsidR="00890AB1" w:rsidRDefault="00890AB1" w:rsidP="00890AB1">
      <w:pPr>
        <w:rPr>
          <w:b/>
          <w:u w:val="single"/>
        </w:rPr>
      </w:pPr>
      <w:r w:rsidRPr="00EB3215">
        <w:rPr>
          <w:b/>
          <w:u w:val="single"/>
        </w:rPr>
        <w:t>EMPLOYMENT</w:t>
      </w:r>
    </w:p>
    <w:p w:rsidR="00890AB1" w:rsidRDefault="00890AB1" w:rsidP="00890AB1">
      <w:pPr>
        <w:rPr>
          <w:b/>
          <w:u w:val="single"/>
        </w:rPr>
      </w:pPr>
    </w:p>
    <w:p w:rsidR="00890AB1" w:rsidRPr="00CE240C" w:rsidRDefault="00890AB1" w:rsidP="00890AB1">
      <w:pPr>
        <w:rPr>
          <w:b/>
        </w:rPr>
      </w:pPr>
      <w:r>
        <w:rPr>
          <w:b/>
        </w:rPr>
        <w:t>1997</w:t>
      </w:r>
      <w:r w:rsidRPr="00750DDC">
        <w:rPr>
          <w:b/>
        </w:rPr>
        <w:t>-</w:t>
      </w:r>
      <w:r>
        <w:rPr>
          <w:b/>
        </w:rPr>
        <w:t>2000</w:t>
      </w:r>
      <w:r>
        <w:tab/>
      </w:r>
      <w:r>
        <w:tab/>
      </w:r>
      <w:proofErr w:type="spellStart"/>
      <w:r w:rsidRPr="00CE240C">
        <w:rPr>
          <w:b/>
        </w:rPr>
        <w:t>Corrs</w:t>
      </w:r>
      <w:proofErr w:type="spellEnd"/>
      <w:r w:rsidRPr="00CE240C">
        <w:rPr>
          <w:b/>
        </w:rPr>
        <w:t xml:space="preserve"> Chambers </w:t>
      </w:r>
      <w:proofErr w:type="spellStart"/>
      <w:r w:rsidRPr="00CE240C">
        <w:rPr>
          <w:b/>
        </w:rPr>
        <w:t>Westgarth</w:t>
      </w:r>
      <w:proofErr w:type="spellEnd"/>
      <w:r w:rsidRPr="00CE240C">
        <w:rPr>
          <w:b/>
        </w:rPr>
        <w:t>, Solicitor, Health Law and litigation</w:t>
      </w:r>
    </w:p>
    <w:p w:rsidR="00890AB1" w:rsidRDefault="00890AB1" w:rsidP="00890AB1">
      <w:pPr>
        <w:shd w:val="clear" w:color="auto" w:fill="FFFFFF"/>
      </w:pPr>
      <w:proofErr w:type="spellStart"/>
      <w:r w:rsidRPr="001B5FB1">
        <w:t>Nicki’s</w:t>
      </w:r>
      <w:proofErr w:type="spellEnd"/>
      <w:r w:rsidRPr="001B5FB1">
        <w:t xml:space="preserve"> experience at </w:t>
      </w:r>
      <w:proofErr w:type="spellStart"/>
      <w:r w:rsidRPr="001B5FB1">
        <w:t>Corrs</w:t>
      </w:r>
      <w:proofErr w:type="spellEnd"/>
      <w:r w:rsidRPr="001B5FB1">
        <w:t xml:space="preserve"> included advising and acting for patients, health care networks, </w:t>
      </w:r>
      <w:r>
        <w:t xml:space="preserve">private hospitals, aged-care providers, </w:t>
      </w:r>
      <w:r w:rsidRPr="001B5FB1">
        <w:t xml:space="preserve">medical practitioners, nurses and allied health care professionals, medical defence funds, </w:t>
      </w:r>
      <w:r>
        <w:t xml:space="preserve">risk management companies and </w:t>
      </w:r>
      <w:r w:rsidRPr="001B5FB1">
        <w:t xml:space="preserve">private health insurers in matters in the Supreme Court, the Magistrates’ Court, VCAT and before the Medical Board of Victoria.  </w:t>
      </w:r>
      <w:r>
        <w:t>As a first year solicitor Nicki led a team that devised and implemented a comprehensive compliance program for a healthcare network.</w:t>
      </w:r>
    </w:p>
    <w:p w:rsidR="00890AB1" w:rsidRDefault="00890AB1" w:rsidP="00890AB1">
      <w:pPr>
        <w:shd w:val="clear" w:color="auto" w:fill="FFFFFF"/>
      </w:pPr>
    </w:p>
    <w:p w:rsidR="00890AB1" w:rsidRDefault="00890AB1" w:rsidP="00890AB1">
      <w:r>
        <w:rPr>
          <w:b/>
        </w:rPr>
        <w:t>2000</w:t>
      </w:r>
      <w:r w:rsidRPr="00750DDC">
        <w:rPr>
          <w:b/>
        </w:rPr>
        <w:t>-2002</w:t>
      </w:r>
      <w:r>
        <w:tab/>
      </w:r>
      <w:r>
        <w:tab/>
      </w:r>
      <w:r w:rsidRPr="00CE240C">
        <w:rPr>
          <w:b/>
        </w:rPr>
        <w:t>La Trobe University, Lecturer and Course co-ordinator, School of Law</w:t>
      </w:r>
    </w:p>
    <w:p w:rsidR="00890AB1" w:rsidRDefault="00890AB1" w:rsidP="00890AB1">
      <w:r>
        <w:t>At La Trobe University Nicki delivered the Health Law and Medicine program which involved face to face teaching, workshop design, developing curriculum and providing feedback on assessments to students.  Nicki also taught into the criminal law program and property law program.</w:t>
      </w:r>
    </w:p>
    <w:p w:rsidR="00890AB1" w:rsidRDefault="00890AB1" w:rsidP="00890AB1"/>
    <w:p w:rsidR="00890AB1" w:rsidRDefault="00890AB1" w:rsidP="00890AB1">
      <w:pPr>
        <w:ind w:left="1440" w:hanging="1440"/>
      </w:pPr>
      <w:r>
        <w:rPr>
          <w:b/>
        </w:rPr>
        <w:t>2001</w:t>
      </w:r>
      <w:r w:rsidRPr="00750DDC">
        <w:rPr>
          <w:b/>
        </w:rPr>
        <w:t>-</w:t>
      </w:r>
      <w:r>
        <w:rPr>
          <w:b/>
        </w:rPr>
        <w:t>ongoing</w:t>
      </w:r>
      <w:r>
        <w:tab/>
      </w:r>
      <w:r>
        <w:tab/>
      </w:r>
      <w:r w:rsidRPr="00A0472A">
        <w:rPr>
          <w:b/>
        </w:rPr>
        <w:t>Monash University, Senior Fellow/Lecturer and Chief Examiner</w:t>
      </w:r>
    </w:p>
    <w:p w:rsidR="00890AB1" w:rsidRPr="005C7517" w:rsidRDefault="00890AB1" w:rsidP="00890AB1">
      <w:r>
        <w:t xml:space="preserve">At Monash University Nicki has taught and researched (in the Faculty of Law, and the Faculty of Medicine, Nursing and Health Sciences) in Criminal Law, Health Law, Evidence Law, Torts Law, Proof and Litigation and Dispute Resolution.  Nicki is currently the Chief Examiner of the undergraduate and post graduate law units ‘Litigation and Dispute Resolution’, the Masters law Unit ‘Advanced Evidence and Proof’ and the Masters Medicine unit ‘Law for Health Systems’.  Nicki also liaises with industry (law firms and IT start ups) to provide innovative Work Integrated Learning programs for law students. </w:t>
      </w:r>
    </w:p>
    <w:p w:rsidR="00890AB1" w:rsidRDefault="00890AB1" w:rsidP="00890AB1">
      <w:pPr>
        <w:rPr>
          <w:b/>
        </w:rPr>
      </w:pPr>
    </w:p>
    <w:p w:rsidR="00890AB1" w:rsidRDefault="00890AB1" w:rsidP="00890AB1">
      <w:r>
        <w:rPr>
          <w:b/>
        </w:rPr>
        <w:t>2011-2012</w:t>
      </w:r>
      <w:r>
        <w:rPr>
          <w:b/>
        </w:rPr>
        <w:tab/>
      </w:r>
      <w:r>
        <w:rPr>
          <w:b/>
        </w:rPr>
        <w:tab/>
      </w:r>
      <w:r w:rsidRPr="00A42F93">
        <w:rPr>
          <w:b/>
        </w:rPr>
        <w:t xml:space="preserve">Volunteer Supervisor Monash </w:t>
      </w:r>
      <w:proofErr w:type="spellStart"/>
      <w:r w:rsidRPr="00A42F93">
        <w:rPr>
          <w:b/>
        </w:rPr>
        <w:t>Oakleigh</w:t>
      </w:r>
      <w:proofErr w:type="spellEnd"/>
      <w:r w:rsidRPr="00A42F93">
        <w:rPr>
          <w:b/>
        </w:rPr>
        <w:t xml:space="preserve"> Legal Service</w:t>
      </w:r>
    </w:p>
    <w:p w:rsidR="00890AB1" w:rsidRDefault="00890AB1" w:rsidP="00890AB1">
      <w:pPr>
        <w:shd w:val="clear" w:color="auto" w:fill="FFFFFF"/>
      </w:pPr>
      <w:r w:rsidRPr="001B5FB1">
        <w:t>At M</w:t>
      </w:r>
      <w:r>
        <w:t>onash-</w:t>
      </w:r>
      <w:proofErr w:type="spellStart"/>
      <w:r>
        <w:t>Oakleigh</w:t>
      </w:r>
      <w:proofErr w:type="spellEnd"/>
      <w:r>
        <w:t xml:space="preserve"> Legal Service</w:t>
      </w:r>
      <w:r w:rsidRPr="001B5FB1">
        <w:t xml:space="preserve"> Nicki provided practical, resolution based advice on mental health issues</w:t>
      </w:r>
      <w:r>
        <w:t>,</w:t>
      </w:r>
      <w:r w:rsidRPr="001B5FB1">
        <w:t xml:space="preserve"> privacy issues</w:t>
      </w:r>
      <w:r>
        <w:t xml:space="preserve">, administrative law complaints, FOI requests, </w:t>
      </w:r>
      <w:r w:rsidRPr="001B5FB1">
        <w:t>planning applications, residential tena</w:t>
      </w:r>
      <w:r>
        <w:t xml:space="preserve">ncy and neighbourhood disputes </w:t>
      </w:r>
      <w:r w:rsidRPr="001B5FB1">
        <w:t xml:space="preserve">and sale of goods complaints.  </w:t>
      </w:r>
    </w:p>
    <w:p w:rsidR="00890AB1" w:rsidRPr="001B5FB1" w:rsidRDefault="00890AB1" w:rsidP="00890AB1">
      <w:pPr>
        <w:shd w:val="clear" w:color="auto" w:fill="FFFFFF"/>
      </w:pPr>
    </w:p>
    <w:p w:rsidR="00890AB1" w:rsidRDefault="00890AB1" w:rsidP="00890AB1">
      <w:pPr>
        <w:ind w:left="1440" w:hanging="1440"/>
      </w:pPr>
      <w:r w:rsidRPr="00C11C00">
        <w:rPr>
          <w:b/>
        </w:rPr>
        <w:t xml:space="preserve">2013 </w:t>
      </w:r>
      <w:r w:rsidRPr="008F32E9">
        <w:rPr>
          <w:b/>
        </w:rPr>
        <w:t xml:space="preserve">- </w:t>
      </w:r>
      <w:proofErr w:type="gramStart"/>
      <w:r w:rsidRPr="008F32E9">
        <w:rPr>
          <w:b/>
        </w:rPr>
        <w:t>ongoing</w:t>
      </w:r>
      <w:proofErr w:type="gramEnd"/>
      <w:r>
        <w:tab/>
      </w:r>
      <w:r w:rsidRPr="00A42F93">
        <w:rPr>
          <w:b/>
        </w:rPr>
        <w:t>Barrister, G</w:t>
      </w:r>
      <w:r>
        <w:rPr>
          <w:b/>
        </w:rPr>
        <w:t>reens list (Crime and Health L</w:t>
      </w:r>
      <w:r w:rsidRPr="00A42F93">
        <w:rPr>
          <w:b/>
        </w:rPr>
        <w:t>aw)</w:t>
      </w:r>
    </w:p>
    <w:p w:rsidR="00890AB1" w:rsidRDefault="00890AB1" w:rsidP="00890AB1">
      <w:pPr>
        <w:shd w:val="clear" w:color="auto" w:fill="FFFFFF"/>
      </w:pPr>
      <w:r>
        <w:t>Nicki signed the Bar Roll in 2013 and accepts briefs in criminal law and all matters associated with the Health care industry (including guardianship applications, medical negligence, professional disciplinary matters</w:t>
      </w:r>
      <w:r w:rsidR="00332E8E">
        <w:t xml:space="preserve"> AHPRA</w:t>
      </w:r>
      <w:r>
        <w:t xml:space="preserve">, access to medical records and coronial inquests).  </w:t>
      </w:r>
      <w:r w:rsidR="004F63B4">
        <w:t>N</w:t>
      </w:r>
      <w:r w:rsidR="00113EF6">
        <w:t xml:space="preserve">icki read with Roisin </w:t>
      </w:r>
      <w:proofErr w:type="spellStart"/>
      <w:r w:rsidR="00113EF6">
        <w:t>Annesley</w:t>
      </w:r>
      <w:proofErr w:type="spellEnd"/>
      <w:r w:rsidR="00113EF6">
        <w:t xml:space="preserve"> Q</w:t>
      </w:r>
      <w:r w:rsidR="004F63B4">
        <w:t>C.</w:t>
      </w:r>
    </w:p>
    <w:p w:rsidR="00890AB1" w:rsidRDefault="00890AB1" w:rsidP="00890AB1">
      <w:pPr>
        <w:shd w:val="clear" w:color="auto" w:fill="FFFFFF"/>
      </w:pPr>
    </w:p>
    <w:p w:rsidR="00890AB1" w:rsidRDefault="00890AB1" w:rsidP="00890AB1">
      <w:pPr>
        <w:ind w:left="1440" w:hanging="1440"/>
        <w:rPr>
          <w:b/>
        </w:rPr>
      </w:pPr>
      <w:r w:rsidRPr="007779BF">
        <w:rPr>
          <w:b/>
        </w:rPr>
        <w:t>2013-2015</w:t>
      </w:r>
      <w:r>
        <w:tab/>
      </w:r>
      <w:r>
        <w:tab/>
      </w:r>
      <w:proofErr w:type="spellStart"/>
      <w:r w:rsidRPr="00A42F93">
        <w:rPr>
          <w:b/>
        </w:rPr>
        <w:t>Headnote</w:t>
      </w:r>
      <w:proofErr w:type="spellEnd"/>
      <w:r w:rsidRPr="00A42F93">
        <w:rPr>
          <w:b/>
        </w:rPr>
        <w:t xml:space="preserve"> author, Victorian Reports</w:t>
      </w:r>
    </w:p>
    <w:p w:rsidR="00890AB1" w:rsidRDefault="00890AB1" w:rsidP="00890AB1">
      <w:pPr>
        <w:ind w:left="1440" w:hanging="1440"/>
      </w:pPr>
    </w:p>
    <w:p w:rsidR="00890AB1" w:rsidRDefault="00890AB1" w:rsidP="00890AB1">
      <w:pPr>
        <w:ind w:left="1440" w:hanging="1440"/>
        <w:rPr>
          <w:b/>
        </w:rPr>
      </w:pPr>
      <w:r w:rsidRPr="008F32E9">
        <w:rPr>
          <w:b/>
        </w:rPr>
        <w:t xml:space="preserve">2014 – </w:t>
      </w:r>
      <w:proofErr w:type="gramStart"/>
      <w:r w:rsidRPr="008F32E9">
        <w:rPr>
          <w:b/>
        </w:rPr>
        <w:t>ongoing</w:t>
      </w:r>
      <w:proofErr w:type="gramEnd"/>
      <w:r w:rsidRPr="008F32E9">
        <w:rPr>
          <w:b/>
        </w:rPr>
        <w:tab/>
      </w:r>
      <w:r w:rsidRPr="00A42F93">
        <w:rPr>
          <w:b/>
        </w:rPr>
        <w:t>Mediator, Greens List</w:t>
      </w:r>
    </w:p>
    <w:p w:rsidR="00890AB1" w:rsidRDefault="00890AB1" w:rsidP="00890AB1">
      <w:pPr>
        <w:shd w:val="clear" w:color="auto" w:fill="FFFFFF"/>
      </w:pPr>
      <w:r>
        <w:t>Nicki was registered as a nationally accredited mediator in 2014.  In this role Nicki facilitates parties to resolve protracted disputes based on their interests (rather than their legal rights) with a view to maintaining an ongoing relationship.</w:t>
      </w:r>
    </w:p>
    <w:p w:rsidR="00890AB1" w:rsidRDefault="00890AB1" w:rsidP="00890AB1">
      <w:pPr>
        <w:shd w:val="clear" w:color="auto" w:fill="FFFFFF"/>
      </w:pPr>
    </w:p>
    <w:p w:rsidR="00890AB1" w:rsidRDefault="00890AB1" w:rsidP="00890AB1">
      <w:pPr>
        <w:ind w:left="1440" w:hanging="1440"/>
        <w:rPr>
          <w:b/>
        </w:rPr>
      </w:pPr>
      <w:r>
        <w:rPr>
          <w:b/>
        </w:rPr>
        <w:t>2014 – 2017</w:t>
      </w:r>
      <w:r>
        <w:rPr>
          <w:b/>
        </w:rPr>
        <w:tab/>
      </w:r>
      <w:r>
        <w:rPr>
          <w:b/>
        </w:rPr>
        <w:tab/>
      </w:r>
      <w:r w:rsidRPr="00C377D0">
        <w:rPr>
          <w:b/>
        </w:rPr>
        <w:t>Marker, Victorian Bar Entrance Exams</w:t>
      </w:r>
    </w:p>
    <w:p w:rsidR="00890AB1" w:rsidRDefault="00890AB1" w:rsidP="00890AB1">
      <w:pPr>
        <w:ind w:left="1440" w:hanging="1440"/>
      </w:pPr>
    </w:p>
    <w:p w:rsidR="00890AB1" w:rsidRDefault="00890AB1" w:rsidP="00890AB1">
      <w:pPr>
        <w:ind w:left="1440" w:hanging="1440"/>
      </w:pPr>
      <w:r w:rsidRPr="0015221E">
        <w:rPr>
          <w:b/>
        </w:rPr>
        <w:t xml:space="preserve">2015 – </w:t>
      </w:r>
      <w:proofErr w:type="gramStart"/>
      <w:r w:rsidRPr="0015221E">
        <w:rPr>
          <w:b/>
        </w:rPr>
        <w:t>ongoing</w:t>
      </w:r>
      <w:proofErr w:type="gramEnd"/>
      <w:r>
        <w:tab/>
      </w:r>
      <w:r>
        <w:rPr>
          <w:b/>
        </w:rPr>
        <w:t>Board member, Victorian Assisted Reproductive Treatment Authority</w:t>
      </w:r>
    </w:p>
    <w:p w:rsidR="00890AB1" w:rsidRDefault="00890AB1" w:rsidP="00890AB1">
      <w:pPr>
        <w:shd w:val="clear" w:color="auto" w:fill="FFFFFF"/>
      </w:pPr>
      <w:r w:rsidRPr="001B5FB1">
        <w:t>Ni</w:t>
      </w:r>
      <w:r>
        <w:t xml:space="preserve">cki has been a member of VARTA during the preparation for, and roll out of, the new legislative scheme providing for the maintenance of and access to, the central and voluntary registers.  In this role Nicki collaboratively develops VARTA’s strategic goals and oversees organisational operation.  </w:t>
      </w:r>
    </w:p>
    <w:p w:rsidR="00DB1BA3" w:rsidRDefault="00DB1BA3" w:rsidP="00890AB1">
      <w:pPr>
        <w:shd w:val="clear" w:color="auto" w:fill="FFFFFF"/>
      </w:pPr>
    </w:p>
    <w:p w:rsidR="00DB1BA3" w:rsidRDefault="00DB1BA3" w:rsidP="00890AB1">
      <w:pPr>
        <w:shd w:val="clear" w:color="auto" w:fill="FFFFFF"/>
      </w:pPr>
      <w:r w:rsidRPr="00DB1BA3">
        <w:rPr>
          <w:b/>
        </w:rPr>
        <w:t xml:space="preserve">2018 – </w:t>
      </w:r>
      <w:proofErr w:type="gramStart"/>
      <w:r w:rsidRPr="00DB1BA3">
        <w:rPr>
          <w:b/>
        </w:rPr>
        <w:t>ongoing</w:t>
      </w:r>
      <w:proofErr w:type="gramEnd"/>
      <w:r>
        <w:tab/>
        <w:t>Online Dispute Resolution Fellow, the Australian Centre for Justice Innovation</w:t>
      </w:r>
    </w:p>
    <w:p w:rsidR="00DB1BA3" w:rsidRDefault="00DB1BA3" w:rsidP="00890AB1">
      <w:pPr>
        <w:shd w:val="clear" w:color="auto" w:fill="FFFFFF"/>
      </w:pPr>
    </w:p>
    <w:p w:rsidR="00DB1BA3" w:rsidRDefault="00DB1BA3" w:rsidP="00DB1BA3">
      <w:pPr>
        <w:shd w:val="clear" w:color="auto" w:fill="FFFFFF"/>
        <w:ind w:left="2160" w:hanging="2160"/>
      </w:pPr>
      <w:r w:rsidRPr="00DB1BA3">
        <w:rPr>
          <w:b/>
        </w:rPr>
        <w:t xml:space="preserve">2018 – </w:t>
      </w:r>
      <w:proofErr w:type="gramStart"/>
      <w:r w:rsidRPr="00DB1BA3">
        <w:rPr>
          <w:b/>
        </w:rPr>
        <w:t>ongoing</w:t>
      </w:r>
      <w:proofErr w:type="gramEnd"/>
      <w:r>
        <w:tab/>
        <w:t>The Victorian Bar representative on the VCAT ODR Stakeholder Consultative Committee</w:t>
      </w:r>
    </w:p>
    <w:p w:rsidR="00890AB1" w:rsidRDefault="00890AB1" w:rsidP="00890AB1">
      <w:pPr>
        <w:rPr>
          <w:b/>
          <w:u w:val="single"/>
        </w:rPr>
      </w:pPr>
    </w:p>
    <w:p w:rsidR="00DB1BA3" w:rsidRDefault="00DB1BA3" w:rsidP="00890AB1">
      <w:pPr>
        <w:rPr>
          <w:b/>
          <w:u w:val="single"/>
        </w:rPr>
      </w:pPr>
    </w:p>
    <w:p w:rsidR="00DB1BA3" w:rsidRDefault="00DB1BA3" w:rsidP="00890AB1">
      <w:pPr>
        <w:rPr>
          <w:b/>
          <w:u w:val="single"/>
        </w:rPr>
      </w:pPr>
    </w:p>
    <w:p w:rsidR="00DB1BA3" w:rsidRDefault="00DB1BA3" w:rsidP="00890AB1">
      <w:pPr>
        <w:rPr>
          <w:b/>
          <w:u w:val="single"/>
        </w:rPr>
      </w:pPr>
    </w:p>
    <w:p w:rsidR="00890AB1" w:rsidRDefault="00890AB1" w:rsidP="00890AB1">
      <w:pPr>
        <w:rPr>
          <w:b/>
          <w:u w:val="single"/>
        </w:rPr>
      </w:pPr>
      <w:r w:rsidRPr="00750DDC">
        <w:rPr>
          <w:b/>
          <w:u w:val="single"/>
        </w:rPr>
        <w:lastRenderedPageBreak/>
        <w:t>INTERESTS / ACTIVITIES</w:t>
      </w:r>
    </w:p>
    <w:p w:rsidR="00890AB1" w:rsidRPr="00750DDC" w:rsidRDefault="00890AB1" w:rsidP="00890AB1">
      <w:pPr>
        <w:rPr>
          <w:b/>
          <w:u w:val="single"/>
        </w:rPr>
      </w:pPr>
    </w:p>
    <w:p w:rsidR="00890AB1" w:rsidRPr="00750DDC" w:rsidRDefault="00890AB1" w:rsidP="00890AB1">
      <w:pPr>
        <w:rPr>
          <w:b/>
        </w:rPr>
      </w:pPr>
      <w:r w:rsidRPr="00750DDC">
        <w:rPr>
          <w:b/>
        </w:rPr>
        <w:t>Memberships</w:t>
      </w:r>
    </w:p>
    <w:p w:rsidR="00890AB1" w:rsidRDefault="00890AB1" w:rsidP="00890AB1">
      <w:pPr>
        <w:numPr>
          <w:ilvl w:val="0"/>
          <w:numId w:val="3"/>
        </w:numPr>
        <w:spacing w:after="200"/>
      </w:pPr>
      <w:r>
        <w:t>Past Board Member (Legal) Victorian Cytology Service</w:t>
      </w:r>
    </w:p>
    <w:p w:rsidR="00890AB1" w:rsidRDefault="00890AB1" w:rsidP="00890AB1">
      <w:pPr>
        <w:numPr>
          <w:ilvl w:val="0"/>
          <w:numId w:val="3"/>
        </w:numPr>
        <w:spacing w:after="200"/>
      </w:pPr>
      <w:r>
        <w:t>Past member curriculum review committee Law Faculty Monash University: Evidence, Criminal law, Civil procedure</w:t>
      </w:r>
    </w:p>
    <w:p w:rsidR="00890AB1" w:rsidRDefault="00890AB1" w:rsidP="00890AB1">
      <w:pPr>
        <w:numPr>
          <w:ilvl w:val="0"/>
          <w:numId w:val="3"/>
        </w:numPr>
        <w:spacing w:after="200"/>
      </w:pPr>
      <w:r>
        <w:t>Founding Chair of the LIV Health Law Committee, and LIV member</w:t>
      </w:r>
    </w:p>
    <w:p w:rsidR="00890AB1" w:rsidRDefault="00890AB1" w:rsidP="00890AB1">
      <w:pPr>
        <w:numPr>
          <w:ilvl w:val="0"/>
          <w:numId w:val="3"/>
        </w:numPr>
        <w:spacing w:after="200"/>
      </w:pPr>
      <w:r>
        <w:t>Past Legal Member of the Peninsula Health Care Network Research and Ethics Committee (Frankston Hospital), the Inner and Eastern Health Care Network Research and Ethics Committee(St George’s Hospital) and Past Board Member of the Caroline Chisholm Institute for Health Ethics</w:t>
      </w:r>
    </w:p>
    <w:p w:rsidR="00890AB1" w:rsidRDefault="00890AB1" w:rsidP="00890AB1">
      <w:pPr>
        <w:numPr>
          <w:ilvl w:val="0"/>
          <w:numId w:val="3"/>
        </w:numPr>
        <w:spacing w:after="200"/>
      </w:pPr>
      <w:r w:rsidRPr="00F1657E">
        <w:t>Member of the Australian Institute of Health Law and Ethics</w:t>
      </w:r>
    </w:p>
    <w:p w:rsidR="00890AB1" w:rsidRDefault="00890AB1" w:rsidP="00890AB1">
      <w:pPr>
        <w:numPr>
          <w:ilvl w:val="0"/>
          <w:numId w:val="3"/>
        </w:numPr>
        <w:spacing w:after="200"/>
      </w:pPr>
      <w:r w:rsidRPr="00F1657E">
        <w:t>Associate member of the Centre for Human Bioethics</w:t>
      </w:r>
    </w:p>
    <w:p w:rsidR="00890AB1" w:rsidRPr="00F1657E" w:rsidRDefault="00890AB1" w:rsidP="00890AB1">
      <w:pPr>
        <w:numPr>
          <w:ilvl w:val="0"/>
          <w:numId w:val="3"/>
        </w:numPr>
        <w:spacing w:after="200"/>
      </w:pPr>
      <w:r>
        <w:t>Member of the Duty Barrister Scheme, Victorian Women Lawyers, Australia</w:t>
      </w:r>
      <w:r w:rsidR="000422D7">
        <w:t>n Women Barristers Association</w:t>
      </w:r>
    </w:p>
    <w:p w:rsidR="00890AB1" w:rsidRDefault="00890AB1" w:rsidP="00890AB1">
      <w:pPr>
        <w:rPr>
          <w:b/>
        </w:rPr>
      </w:pPr>
    </w:p>
    <w:p w:rsidR="00890AB1" w:rsidRPr="00550751" w:rsidRDefault="00890AB1" w:rsidP="00890AB1">
      <w:pPr>
        <w:rPr>
          <w:b/>
        </w:rPr>
      </w:pPr>
      <w:r w:rsidRPr="00550751">
        <w:rPr>
          <w:b/>
        </w:rPr>
        <w:t>Publications etc</w:t>
      </w:r>
    </w:p>
    <w:p w:rsidR="00890AB1" w:rsidRDefault="00890AB1" w:rsidP="00890AB1">
      <w:pPr>
        <w:numPr>
          <w:ilvl w:val="0"/>
          <w:numId w:val="4"/>
        </w:numPr>
        <w:spacing w:after="200"/>
      </w:pPr>
      <w:r w:rsidRPr="001C7ABC">
        <w:t>Contributor to “Law for Non Lawyers; Introduction to Law” Future Learn, (Massive Open Online Course – MOOC) (see, for example #</w:t>
      </w:r>
      <w:proofErr w:type="spellStart"/>
      <w:r w:rsidRPr="001C7ABC">
        <w:t>FLLawNonLaw</w:t>
      </w:r>
      <w:proofErr w:type="spellEnd"/>
      <w:r w:rsidRPr="001C7ABC">
        <w:t xml:space="preserve"> on Twitter) October 2016</w:t>
      </w:r>
      <w:r>
        <w:t xml:space="preserve"> </w:t>
      </w:r>
    </w:p>
    <w:p w:rsidR="00890AB1" w:rsidRPr="0026077E" w:rsidRDefault="00890AB1" w:rsidP="00890AB1">
      <w:pPr>
        <w:numPr>
          <w:ilvl w:val="0"/>
          <w:numId w:val="4"/>
        </w:numPr>
        <w:spacing w:after="200"/>
      </w:pPr>
      <w:r>
        <w:t xml:space="preserve"> “Turning teaching innovation into research publications; the introduction of ODR into ADR teaching in the JD/LLB program” (co-presented with Dr Genevieve Grant) 29 August 2016, Law Faculty, Better teaching and Learning Seminar, Monash University, Clayton</w:t>
      </w:r>
    </w:p>
    <w:p w:rsidR="00890AB1" w:rsidRDefault="00890AB1" w:rsidP="00890AB1">
      <w:pPr>
        <w:numPr>
          <w:ilvl w:val="0"/>
          <w:numId w:val="4"/>
        </w:numPr>
        <w:spacing w:after="200"/>
      </w:pPr>
      <w:r>
        <w:t xml:space="preserve">“Consent Workshop” Contributing author.  A programme developed by The </w:t>
      </w:r>
      <w:proofErr w:type="spellStart"/>
      <w:r>
        <w:t>Nookie</w:t>
      </w:r>
      <w:proofErr w:type="spellEnd"/>
      <w:r>
        <w:t xml:space="preserve"> Project to educate General Practitioners about the law of consent (May 2016)</w:t>
      </w:r>
    </w:p>
    <w:p w:rsidR="00890AB1" w:rsidRPr="001C1ECB" w:rsidRDefault="009920B6" w:rsidP="00890AB1">
      <w:pPr>
        <w:numPr>
          <w:ilvl w:val="0"/>
          <w:numId w:val="4"/>
        </w:numPr>
        <w:spacing w:after="200"/>
      </w:pPr>
      <w:hyperlink r:id="rId5" w:tooltip="Paying for Discovery? Disclosing Privileged Documents? The new Discovery Act" w:history="1">
        <w:r w:rsidR="00890AB1" w:rsidRPr="0026077E">
          <w:t>Paying for Discovery? Disclosing Privileged Documents? The new Discovery Act</w:t>
        </w:r>
      </w:hyperlink>
      <w:r w:rsidR="00890AB1" w:rsidRPr="0026077E">
        <w:t xml:space="preserve"> (</w:t>
      </w:r>
      <w:r w:rsidR="00890AB1" w:rsidRPr="00AB0FCE">
        <w:t>bloggers@vicbar.com</w:t>
      </w:r>
      <w:r w:rsidR="00890AB1" w:rsidRPr="0026077E">
        <w:t>)</w:t>
      </w:r>
      <w:r w:rsidR="00890AB1">
        <w:t xml:space="preserve"> 12 May 2014</w:t>
      </w:r>
    </w:p>
    <w:p w:rsidR="00890AB1" w:rsidRDefault="00890AB1" w:rsidP="00890AB1">
      <w:pPr>
        <w:numPr>
          <w:ilvl w:val="0"/>
          <w:numId w:val="4"/>
        </w:numPr>
        <w:spacing w:after="200"/>
      </w:pPr>
      <w:r w:rsidRPr="001C1ECB">
        <w:t xml:space="preserve">“Ethics &amp; Professional Responsibilities: Dealing with Self Represented Parties”,  Television Education Network CPD ESSENTIALS CONFERENCES FOR VICTORIAN LAWYERS  Tuesday 25 March 2014 (delivered on behalf of Roisin </w:t>
      </w:r>
      <w:proofErr w:type="spellStart"/>
      <w:r w:rsidRPr="001C1ECB">
        <w:t>Annesley</w:t>
      </w:r>
      <w:proofErr w:type="spellEnd"/>
      <w:r w:rsidRPr="001C1ECB">
        <w:t>)</w:t>
      </w:r>
    </w:p>
    <w:p w:rsidR="00890AB1" w:rsidRDefault="00890AB1" w:rsidP="00890AB1">
      <w:pPr>
        <w:numPr>
          <w:ilvl w:val="0"/>
          <w:numId w:val="4"/>
        </w:numPr>
        <w:spacing w:after="200"/>
      </w:pPr>
      <w:r w:rsidRPr="0026077E">
        <w:t xml:space="preserve">“Sex and drugs in nursing homes!: Trends in allied health disciplinary proceedings, </w:t>
      </w:r>
      <w:proofErr w:type="spellStart"/>
      <w:r w:rsidRPr="0026077E">
        <w:t>Akolade</w:t>
      </w:r>
      <w:proofErr w:type="spellEnd"/>
      <w:r w:rsidRPr="0026077E">
        <w:t xml:space="preserve"> Health Law Fundamentals Seminar 27 November 2013 (co-presented with Ian </w:t>
      </w:r>
      <w:proofErr w:type="spellStart"/>
      <w:r w:rsidRPr="0026077E">
        <w:t>Freckleton</w:t>
      </w:r>
      <w:proofErr w:type="spellEnd"/>
      <w:r w:rsidRPr="0026077E">
        <w:t xml:space="preserve"> SC)</w:t>
      </w:r>
    </w:p>
    <w:p w:rsidR="00890AB1" w:rsidRDefault="00890AB1" w:rsidP="00890AB1">
      <w:pPr>
        <w:numPr>
          <w:ilvl w:val="0"/>
          <w:numId w:val="4"/>
        </w:numPr>
        <w:spacing w:after="200"/>
      </w:pPr>
      <w:r w:rsidRPr="0026077E">
        <w:t xml:space="preserve">“Do not pass go: Go Directly to Jail, the New Sentencing Landscape : The Abolition of Suspended Sentences” Greens List Breakfast Briefings 19 November 2013 (co-presented with Karen </w:t>
      </w:r>
      <w:proofErr w:type="spellStart"/>
      <w:r w:rsidRPr="0026077E">
        <w:t>Argiropolous</w:t>
      </w:r>
      <w:proofErr w:type="spellEnd"/>
      <w:r w:rsidRPr="0026077E">
        <w:t xml:space="preserve">, Trevor </w:t>
      </w:r>
      <w:proofErr w:type="spellStart"/>
      <w:r w:rsidRPr="0026077E">
        <w:t>Wraight</w:t>
      </w:r>
      <w:proofErr w:type="spellEnd"/>
      <w:r w:rsidRPr="0026077E">
        <w:t xml:space="preserve">, Greg Lyon SC) </w:t>
      </w:r>
    </w:p>
    <w:p w:rsidR="00890AB1" w:rsidRPr="0026077E" w:rsidRDefault="009920B6" w:rsidP="00890AB1">
      <w:pPr>
        <w:numPr>
          <w:ilvl w:val="0"/>
          <w:numId w:val="4"/>
        </w:numPr>
        <w:spacing w:after="200"/>
      </w:pPr>
      <w:hyperlink r:id="rId6" w:tooltip="Changes to the Bail Act (Vic) as of 20-12-13" w:history="1">
        <w:r w:rsidR="00890AB1" w:rsidRPr="0026077E">
          <w:t>Changes to the Bail Act (Vic) as of 20-12-13</w:t>
        </w:r>
      </w:hyperlink>
      <w:r w:rsidR="00890AB1" w:rsidRPr="0026077E">
        <w:t xml:space="preserve"> (bloggers@vicbar.com)</w:t>
      </w:r>
    </w:p>
    <w:p w:rsidR="00890AB1" w:rsidRDefault="00890AB1" w:rsidP="00890AB1">
      <w:pPr>
        <w:numPr>
          <w:ilvl w:val="0"/>
          <w:numId w:val="4"/>
        </w:numPr>
        <w:spacing w:after="200"/>
      </w:pPr>
      <w:r w:rsidRPr="0026077E">
        <w:t xml:space="preserve"> “Derek Percy and the rules of evidence in the coroner’s court” Law Institute Journal September 2013 </w:t>
      </w:r>
    </w:p>
    <w:p w:rsidR="00890AB1" w:rsidRDefault="00890AB1" w:rsidP="00890AB1">
      <w:pPr>
        <w:numPr>
          <w:ilvl w:val="0"/>
          <w:numId w:val="4"/>
        </w:numPr>
        <w:spacing w:after="200"/>
      </w:pPr>
      <w:r>
        <w:t xml:space="preserve">“Brave New Legislation” Journal of Law and Medicine </w:t>
      </w:r>
      <w:proofErr w:type="spellStart"/>
      <w:r>
        <w:t>Vol</w:t>
      </w:r>
      <w:proofErr w:type="spellEnd"/>
      <w:r>
        <w:t xml:space="preserve"> 2 No 1 p 7</w:t>
      </w:r>
    </w:p>
    <w:p w:rsidR="00890AB1" w:rsidRDefault="00890AB1" w:rsidP="00890AB1">
      <w:pPr>
        <w:numPr>
          <w:ilvl w:val="0"/>
          <w:numId w:val="4"/>
        </w:numPr>
        <w:spacing w:after="200"/>
      </w:pPr>
      <w:r>
        <w:lastRenderedPageBreak/>
        <w:t>“Current Issues in IVF Law in Victoria” Radio Interview Without Prejudice 81.3FM July 1995</w:t>
      </w:r>
    </w:p>
    <w:p w:rsidR="00890AB1" w:rsidRDefault="00890AB1" w:rsidP="00890AB1">
      <w:pPr>
        <w:numPr>
          <w:ilvl w:val="0"/>
          <w:numId w:val="4"/>
        </w:numPr>
        <w:spacing w:after="200"/>
      </w:pPr>
      <w:r>
        <w:t xml:space="preserve">“The Blood case – the need for national uniformity” The Health Law Bulletin </w:t>
      </w:r>
      <w:proofErr w:type="spellStart"/>
      <w:r>
        <w:t>Vol</w:t>
      </w:r>
      <w:proofErr w:type="spellEnd"/>
      <w:r>
        <w:t xml:space="preserve"> 5 No 8 p 76 (co-authored with Bryan </w:t>
      </w:r>
      <w:proofErr w:type="spellStart"/>
      <w:r>
        <w:t>Gurry</w:t>
      </w:r>
      <w:proofErr w:type="spellEnd"/>
      <w:r>
        <w:t xml:space="preserve"> and Marcus Hoyle)</w:t>
      </w:r>
    </w:p>
    <w:p w:rsidR="00890AB1" w:rsidRPr="001C7ABC" w:rsidRDefault="00890AB1" w:rsidP="00890AB1">
      <w:pPr>
        <w:numPr>
          <w:ilvl w:val="0"/>
          <w:numId w:val="4"/>
        </w:numPr>
        <w:spacing w:after="200"/>
      </w:pPr>
      <w:r w:rsidRPr="001C7ABC">
        <w:t>“Discrimination in access to IVF programmes” AIHLE 4th Annual Conference July 1999</w:t>
      </w:r>
    </w:p>
    <w:p w:rsidR="00890AB1" w:rsidRPr="00641673" w:rsidRDefault="00890AB1" w:rsidP="00641673">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rPr>
          <w:b/>
        </w:rPr>
      </w:pPr>
      <w:r>
        <w:rPr>
          <w:b/>
        </w:rPr>
        <w:t>Recent Awards</w:t>
      </w: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rPr>
          <w:b/>
        </w:rPr>
      </w:pPr>
    </w:p>
    <w:p w:rsidR="00713D69" w:rsidRDefault="00713D69" w:rsidP="00890AB1">
      <w:pPr>
        <w:numPr>
          <w:ilvl w:val="0"/>
          <w:numId w:val="4"/>
        </w:numPr>
        <w:spacing w:after="200"/>
      </w:pPr>
      <w:r>
        <w:t>2018 University commendation for excellent student feedback in relation to teaching (Law in Health Systems, Masters of Public Health Administration) 2018</w:t>
      </w:r>
    </w:p>
    <w:p w:rsidR="00890AB1" w:rsidRPr="00BE4383" w:rsidRDefault="00890AB1" w:rsidP="00890AB1">
      <w:pPr>
        <w:numPr>
          <w:ilvl w:val="0"/>
          <w:numId w:val="4"/>
        </w:numPr>
        <w:spacing w:after="200"/>
      </w:pPr>
      <w:r w:rsidRPr="00BE4383">
        <w:t>2016 University commendation for excellent student feedbac</w:t>
      </w:r>
      <w:r>
        <w:t>k in relation to teaching (Advanced Ev</w:t>
      </w:r>
      <w:r w:rsidR="00713D69">
        <w:t>idence and Proof in Litigation)</w:t>
      </w:r>
    </w:p>
    <w:p w:rsidR="00890AB1" w:rsidRPr="00BE4383" w:rsidRDefault="00890AB1" w:rsidP="00890AB1">
      <w:pPr>
        <w:numPr>
          <w:ilvl w:val="0"/>
          <w:numId w:val="4"/>
        </w:numPr>
        <w:spacing w:after="200"/>
      </w:pPr>
      <w:r w:rsidRPr="00BE4383">
        <w:t>2015 Faculty teaching award for increasing the student satisfaction in a teaching unit</w:t>
      </w:r>
      <w:r>
        <w:t xml:space="preserve"> (Litigation and Dispute Resolution – formerly Civil Procedure)</w:t>
      </w:r>
    </w:p>
    <w:p w:rsidR="00890AB1" w:rsidRPr="00BE4383" w:rsidRDefault="00890AB1" w:rsidP="00890AB1">
      <w:pPr>
        <w:numPr>
          <w:ilvl w:val="0"/>
          <w:numId w:val="4"/>
        </w:numPr>
        <w:spacing w:after="200"/>
      </w:pPr>
      <w:r w:rsidRPr="00BE4383">
        <w:t>2008 Faculty teaching award for innovation in teaching (including the use of hand puppets to teach sexual offences law</w:t>
      </w:r>
      <w:r>
        <w:t xml:space="preserve"> in Criminal Law</w:t>
      </w:r>
      <w:r w:rsidRPr="00BE4383">
        <w:t>)</w:t>
      </w:r>
    </w:p>
    <w:p w:rsidR="00890AB1" w:rsidRDefault="00890AB1" w:rsidP="00890AB1">
      <w:pPr>
        <w:pStyle w:val="ListParagraph"/>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pPr>
    </w:p>
    <w:p w:rsidR="00890AB1"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rPr>
          <w:b/>
        </w:rPr>
      </w:pPr>
      <w:r w:rsidRPr="00E913DE">
        <w:rPr>
          <w:b/>
        </w:rPr>
        <w:t>Contributions to the wider community</w:t>
      </w:r>
    </w:p>
    <w:p w:rsidR="00890AB1" w:rsidRPr="00E913DE" w:rsidRDefault="00890AB1" w:rsidP="00890AB1">
      <w:pPr>
        <w:tabs>
          <w:tab w:val="left" w:pos="851"/>
          <w:tab w:val="left" w:pos="1702"/>
          <w:tab w:val="left" w:pos="2553"/>
          <w:tab w:val="left" w:pos="3404"/>
          <w:tab w:val="left" w:pos="4255"/>
          <w:tab w:val="left" w:pos="5106"/>
          <w:tab w:val="left" w:pos="5957"/>
          <w:tab w:val="left" w:pos="6808"/>
          <w:tab w:val="left" w:pos="7659"/>
          <w:tab w:val="left" w:pos="8510"/>
          <w:tab w:val="left" w:pos="9361"/>
          <w:tab w:val="left" w:pos="10080"/>
          <w:tab w:val="left" w:pos="10800"/>
          <w:tab w:val="left" w:pos="11520"/>
          <w:tab w:val="left" w:pos="12240"/>
          <w:tab w:val="left" w:pos="12960"/>
          <w:tab w:val="left" w:pos="13680"/>
          <w:tab w:val="left" w:pos="14400"/>
          <w:tab w:val="left" w:pos="15120"/>
          <w:tab w:val="left" w:pos="15840"/>
        </w:tabs>
        <w:spacing w:line="240" w:lineRule="atLeast"/>
        <w:jc w:val="both"/>
        <w:rPr>
          <w:b/>
        </w:rPr>
      </w:pPr>
    </w:p>
    <w:p w:rsidR="00890AB1" w:rsidRDefault="00890AB1" w:rsidP="00890AB1">
      <w:pPr>
        <w:numPr>
          <w:ilvl w:val="0"/>
          <w:numId w:val="4"/>
        </w:numPr>
        <w:spacing w:after="200"/>
      </w:pPr>
      <w:r>
        <w:t>Co-ordinated a 400 strong resident VCAT planning appeal to prevent the establishment of a table top dancing venue in Carnegie’s main shopping village 2003.</w:t>
      </w:r>
    </w:p>
    <w:p w:rsidR="00890AB1" w:rsidRDefault="00890AB1" w:rsidP="00890AB1"/>
    <w:p w:rsidR="00890AB1" w:rsidRDefault="00890AB1" w:rsidP="00890AB1">
      <w:pPr>
        <w:rPr>
          <w:b/>
          <w:u w:val="single"/>
        </w:rPr>
      </w:pPr>
      <w:r w:rsidRPr="00550751">
        <w:rPr>
          <w:b/>
          <w:u w:val="single"/>
        </w:rPr>
        <w:t>REFEREES</w:t>
      </w:r>
    </w:p>
    <w:p w:rsidR="00890AB1" w:rsidRPr="00550751" w:rsidRDefault="00890AB1" w:rsidP="00890AB1">
      <w:pPr>
        <w:rPr>
          <w:b/>
          <w:u w:val="single"/>
        </w:rPr>
      </w:pPr>
    </w:p>
    <w:tbl>
      <w:tblPr>
        <w:tblW w:w="0" w:type="auto"/>
        <w:tblLook w:val="04A0"/>
      </w:tblPr>
      <w:tblGrid>
        <w:gridCol w:w="10201"/>
        <w:gridCol w:w="221"/>
      </w:tblGrid>
      <w:tr w:rsidR="00890AB1" w:rsidTr="009677BD">
        <w:trPr>
          <w:trHeight w:val="4413"/>
        </w:trPr>
        <w:tc>
          <w:tcPr>
            <w:tcW w:w="4737" w:type="dxa"/>
          </w:tcPr>
          <w:p w:rsidR="004F63B4" w:rsidRDefault="004F63B4" w:rsidP="009677BD">
            <w:pPr>
              <w:rPr>
                <w:b/>
              </w:rPr>
            </w:pPr>
            <w:r>
              <w:rPr>
                <w:b/>
              </w:rPr>
              <w:t xml:space="preserve">Roisin </w:t>
            </w:r>
            <w:proofErr w:type="spellStart"/>
            <w:r>
              <w:rPr>
                <w:b/>
              </w:rPr>
              <w:t>Annesley</w:t>
            </w:r>
            <w:proofErr w:type="spellEnd"/>
            <w:r>
              <w:rPr>
                <w:b/>
              </w:rPr>
              <w:t xml:space="preserve"> QC</w:t>
            </w:r>
          </w:p>
          <w:p w:rsidR="004F63B4" w:rsidRPr="00113EF6" w:rsidRDefault="009920B6" w:rsidP="009677BD">
            <w:hyperlink r:id="rId7" w:history="1">
              <w:r w:rsidR="004F63B4" w:rsidRPr="00113EF6">
                <w:t>rannesley@vicbar.com.au</w:t>
              </w:r>
            </w:hyperlink>
          </w:p>
          <w:p w:rsidR="004F63B4" w:rsidRPr="00113EF6" w:rsidRDefault="004F63B4" w:rsidP="009677BD">
            <w:r w:rsidRPr="00113EF6">
              <w:t>0411407590</w:t>
            </w:r>
          </w:p>
          <w:p w:rsidR="004F63B4" w:rsidRDefault="004F63B4" w:rsidP="009677BD">
            <w:pPr>
              <w:rPr>
                <w:b/>
              </w:rPr>
            </w:pPr>
          </w:p>
          <w:p w:rsidR="00890AB1" w:rsidRPr="001C7ABC" w:rsidRDefault="00890AB1" w:rsidP="009677BD">
            <w:pPr>
              <w:rPr>
                <w:b/>
              </w:rPr>
            </w:pPr>
            <w:r>
              <w:rPr>
                <w:b/>
              </w:rPr>
              <w:t xml:space="preserve">Ms </w:t>
            </w:r>
            <w:r w:rsidRPr="001C7ABC">
              <w:rPr>
                <w:b/>
              </w:rPr>
              <w:t>Louise Johnson</w:t>
            </w:r>
          </w:p>
          <w:p w:rsidR="00890AB1" w:rsidRDefault="00890AB1" w:rsidP="009677BD">
            <w:r w:rsidRPr="00C522EF">
              <w:t>Chief Executive Officer</w:t>
            </w:r>
            <w:r>
              <w:t xml:space="preserve">, </w:t>
            </w:r>
            <w:r w:rsidRPr="00C522EF">
              <w:t>Victorian Assisted Reproductive T</w:t>
            </w:r>
            <w:r w:rsidR="00641673">
              <w:t>reatment</w:t>
            </w:r>
            <w:r w:rsidRPr="00C522EF">
              <w:t xml:space="preserve"> Authority</w:t>
            </w:r>
          </w:p>
          <w:p w:rsidR="00890AB1" w:rsidRPr="00C522EF" w:rsidRDefault="00890AB1" w:rsidP="009677BD">
            <w:r w:rsidRPr="000306C2">
              <w:t> 0419 557639</w:t>
            </w:r>
          </w:p>
          <w:tbl>
            <w:tblPr>
              <w:tblW w:w="0" w:type="dxa"/>
              <w:shd w:val="clear" w:color="auto" w:fill="FFFFFF"/>
              <w:tblCellMar>
                <w:left w:w="0" w:type="dxa"/>
                <w:right w:w="0" w:type="dxa"/>
              </w:tblCellMar>
              <w:tblLook w:val="04A0"/>
            </w:tblPr>
            <w:tblGrid>
              <w:gridCol w:w="9985"/>
            </w:tblGrid>
            <w:tr w:rsidR="00890AB1" w:rsidRPr="00557D5B" w:rsidTr="009677BD">
              <w:trPr>
                <w:trHeight w:val="162"/>
              </w:trPr>
              <w:tc>
                <w:tcPr>
                  <w:tcW w:w="11468" w:type="dxa"/>
                  <w:shd w:val="clear" w:color="auto" w:fill="FFFFFF"/>
                  <w:noWrap/>
                  <w:tcMar>
                    <w:top w:w="0" w:type="dxa"/>
                    <w:left w:w="0" w:type="dxa"/>
                    <w:bottom w:w="0" w:type="dxa"/>
                    <w:right w:w="81" w:type="dxa"/>
                  </w:tcMar>
                  <w:hideMark/>
                </w:tcPr>
                <w:tbl>
                  <w:tblPr>
                    <w:tblW w:w="11470" w:type="dxa"/>
                    <w:tblCellMar>
                      <w:left w:w="0" w:type="dxa"/>
                      <w:right w:w="0" w:type="dxa"/>
                    </w:tblCellMar>
                    <w:tblLook w:val="04A0"/>
                  </w:tblPr>
                  <w:tblGrid>
                    <w:gridCol w:w="11470"/>
                  </w:tblGrid>
                  <w:tr w:rsidR="00890AB1" w:rsidRPr="00557D5B" w:rsidTr="009677BD">
                    <w:tc>
                      <w:tcPr>
                        <w:tcW w:w="11470" w:type="dxa"/>
                        <w:vAlign w:val="center"/>
                        <w:hideMark/>
                      </w:tcPr>
                      <w:p w:rsidR="00890AB1" w:rsidRDefault="00890AB1" w:rsidP="009677BD">
                        <w:r w:rsidRPr="006D4479">
                          <w:t>ljohnson@varta.org.au</w:t>
                        </w:r>
                      </w:p>
                      <w:p w:rsidR="00890AB1" w:rsidRPr="00C522EF" w:rsidRDefault="00890AB1" w:rsidP="009677BD"/>
                    </w:tc>
                  </w:tr>
                </w:tbl>
                <w:p w:rsidR="00890AB1" w:rsidRPr="00C522EF" w:rsidRDefault="00890AB1" w:rsidP="009677BD"/>
              </w:tc>
            </w:tr>
          </w:tbl>
          <w:p w:rsidR="00890AB1" w:rsidRDefault="00890AB1" w:rsidP="009677BD">
            <w:pPr>
              <w:rPr>
                <w:b/>
              </w:rPr>
            </w:pPr>
          </w:p>
          <w:p w:rsidR="00890AB1" w:rsidRDefault="00890AB1" w:rsidP="00641673"/>
        </w:tc>
        <w:tc>
          <w:tcPr>
            <w:tcW w:w="4737" w:type="dxa"/>
          </w:tcPr>
          <w:p w:rsidR="00890AB1" w:rsidRDefault="00890AB1" w:rsidP="009677BD"/>
        </w:tc>
      </w:tr>
      <w:tr w:rsidR="00890AB1" w:rsidTr="009677BD">
        <w:trPr>
          <w:trHeight w:val="302"/>
        </w:trPr>
        <w:tc>
          <w:tcPr>
            <w:tcW w:w="4737" w:type="dxa"/>
          </w:tcPr>
          <w:p w:rsidR="00890AB1" w:rsidRDefault="00890AB1" w:rsidP="009677BD"/>
        </w:tc>
        <w:tc>
          <w:tcPr>
            <w:tcW w:w="4737" w:type="dxa"/>
          </w:tcPr>
          <w:p w:rsidR="00890AB1" w:rsidRDefault="00890AB1" w:rsidP="009677BD"/>
        </w:tc>
      </w:tr>
    </w:tbl>
    <w:p w:rsidR="00890AB1" w:rsidRPr="00655827" w:rsidRDefault="00890AB1" w:rsidP="00890AB1">
      <w:pPr>
        <w:rPr>
          <w:lang w:val="en-US"/>
        </w:rPr>
      </w:pPr>
    </w:p>
    <w:p w:rsidR="00890AB1" w:rsidRPr="00655827" w:rsidRDefault="00890AB1" w:rsidP="00890AB1">
      <w:pPr>
        <w:rPr>
          <w:lang w:val="en-US"/>
        </w:rPr>
      </w:pPr>
    </w:p>
    <w:p w:rsidR="001A406B" w:rsidRDefault="001A406B"/>
    <w:sectPr w:rsidR="001A406B" w:rsidSect="00655827">
      <w:pgSz w:w="11907" w:h="16840" w:code="9"/>
      <w:pgMar w:top="826" w:right="567" w:bottom="720" w:left="1134" w:header="567" w:footer="3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0CC"/>
    <w:multiLevelType w:val="hybridMultilevel"/>
    <w:tmpl w:val="CAA83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B45BA"/>
    <w:multiLevelType w:val="hybridMultilevel"/>
    <w:tmpl w:val="51BAE0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64D1E3A"/>
    <w:multiLevelType w:val="hybridMultilevel"/>
    <w:tmpl w:val="818416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9407DD7"/>
    <w:multiLevelType w:val="hybridMultilevel"/>
    <w:tmpl w:val="7B305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AB1"/>
    <w:rsid w:val="000422D7"/>
    <w:rsid w:val="00113EF6"/>
    <w:rsid w:val="001A406B"/>
    <w:rsid w:val="00241BE6"/>
    <w:rsid w:val="00332E8E"/>
    <w:rsid w:val="00361DD5"/>
    <w:rsid w:val="00450B40"/>
    <w:rsid w:val="00475F38"/>
    <w:rsid w:val="004F63B4"/>
    <w:rsid w:val="005A3B03"/>
    <w:rsid w:val="00641673"/>
    <w:rsid w:val="006E12EF"/>
    <w:rsid w:val="00713D69"/>
    <w:rsid w:val="007630F4"/>
    <w:rsid w:val="00890AB1"/>
    <w:rsid w:val="00966294"/>
    <w:rsid w:val="009920B6"/>
    <w:rsid w:val="00C4020A"/>
    <w:rsid w:val="00DB1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B1"/>
    <w:pPr>
      <w:spacing w:after="200" w:line="276" w:lineRule="auto"/>
      <w:ind w:left="720"/>
      <w:contextualSpacing/>
    </w:pPr>
    <w:rPr>
      <w:rFonts w:ascii="Calibri" w:eastAsia="Calibri" w:hAnsi="Calibri"/>
      <w:sz w:val="22"/>
      <w:szCs w:val="22"/>
      <w:lang w:val="en-AU"/>
    </w:rPr>
  </w:style>
  <w:style w:type="character" w:styleId="Strong">
    <w:name w:val="Strong"/>
    <w:basedOn w:val="DefaultParagraphFont"/>
    <w:uiPriority w:val="22"/>
    <w:qFormat/>
    <w:rsid w:val="004F63B4"/>
    <w:rPr>
      <w:b/>
      <w:bCs/>
    </w:rPr>
  </w:style>
  <w:style w:type="character" w:styleId="Hyperlink">
    <w:name w:val="Hyperlink"/>
    <w:basedOn w:val="DefaultParagraphFont"/>
    <w:uiPriority w:val="99"/>
    <w:unhideWhenUsed/>
    <w:rsid w:val="004F63B4"/>
    <w:rPr>
      <w:color w:val="0000FF"/>
      <w:u w:val="single"/>
    </w:rPr>
  </w:style>
</w:styles>
</file>

<file path=word/webSettings.xml><?xml version="1.0" encoding="utf-8"?>
<w:webSettings xmlns:r="http://schemas.openxmlformats.org/officeDocument/2006/relationships" xmlns:w="http://schemas.openxmlformats.org/wordprocessingml/2006/main">
  <w:divs>
    <w:div w:id="19682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nnesley@vicba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slist.com.au/greens-list-general-blog/item/changes-to-the-bail-act-vic-as-of-20-12-13.html" TargetMode="External"/><Relationship Id="rId5" Type="http://schemas.openxmlformats.org/officeDocument/2006/relationships/hyperlink" Target="http://www.greenslist.com.au/greens-list-general-blog/item/paying-for-discovery-disclosing-privileged-documents-the-new-discovery-ac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dcterms:created xsi:type="dcterms:W3CDTF">2019-02-04T12:04:00Z</dcterms:created>
  <dcterms:modified xsi:type="dcterms:W3CDTF">2019-02-04T12:24:00Z</dcterms:modified>
</cp:coreProperties>
</file>